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8ED1E" w14:textId="6F01E38D" w:rsidR="003A5D8E" w:rsidRPr="003A5D8E" w:rsidRDefault="003A5D8E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3A5D8E">
        <w:rPr>
          <w:rFonts w:ascii="Arial" w:hAnsi="Arial" w:cs="Arial"/>
          <w:b/>
          <w:color w:val="000000"/>
          <w:sz w:val="24"/>
          <w:szCs w:val="24"/>
          <w:lang w:val="ru-RU"/>
        </w:rPr>
        <w:t>НЕТЕХНИЧЕСКОЕ РЕЗЮМЕ</w:t>
      </w:r>
    </w:p>
    <w:p w14:paraId="4A3485C0" w14:textId="20F31AD4" w:rsidR="003E6049" w:rsidRDefault="003A5D8E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EF1990" w:rsidRPr="00A10E7B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="00EF1990" w:rsidRPr="00A10E7B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5D52C74C" w14:textId="77777777" w:rsidR="001F602D" w:rsidRPr="001F602D" w:rsidRDefault="001F602D" w:rsidP="001F60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1F602D">
        <w:rPr>
          <w:rFonts w:ascii="Arial" w:eastAsiaTheme="minorHAnsi" w:hAnsi="Arial" w:cs="Arial"/>
          <w:b/>
          <w:bCs/>
          <w:sz w:val="24"/>
          <w:szCs w:val="24"/>
          <w:lang w:val="ru-KZ"/>
        </w:rPr>
        <w:t>СТРОИТЕЛЬСТВО НАСОСНОЙ СТАНЦИИ ВНЕШНЕЙ</w:t>
      </w:r>
    </w:p>
    <w:p w14:paraId="2B439BC3" w14:textId="1063A324" w:rsidR="004C3DC0" w:rsidRDefault="001F602D" w:rsidP="001F60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1F602D">
        <w:rPr>
          <w:rFonts w:ascii="Arial" w:eastAsiaTheme="minorHAnsi" w:hAnsi="Arial" w:cs="Arial"/>
          <w:b/>
          <w:bCs/>
          <w:sz w:val="24"/>
          <w:szCs w:val="24"/>
          <w:lang w:val="ru-KZ"/>
        </w:rPr>
        <w:t>ПЕРЕКАЧКИ НЕФТИ</w:t>
      </w:r>
      <w:r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</w:t>
      </w:r>
      <w:r w:rsidRPr="001F602D">
        <w:rPr>
          <w:rFonts w:ascii="Arial" w:eastAsiaTheme="minorHAnsi" w:hAnsi="Arial" w:cs="Arial"/>
          <w:b/>
          <w:bCs/>
          <w:sz w:val="24"/>
          <w:szCs w:val="24"/>
          <w:lang w:val="ru-KZ"/>
        </w:rPr>
        <w:t>НА ДНС МЕСТОРОЖДЕНИЯ УРИХТАУ</w:t>
      </w:r>
    </w:p>
    <w:p w14:paraId="74F52FD9" w14:textId="18552A40" w:rsidR="00F85A2E" w:rsidRPr="00A10E7B" w:rsidRDefault="00224AA6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bookmarkStart w:id="0" w:name="z96"/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- нефтегазоконденсатное месторождение, расположено в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 Актобе. Непосредственно граничит с разрабатываемым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. Относится к Восточно-</w:t>
      </w:r>
      <w:proofErr w:type="spellStart"/>
      <w:r w:rsidRPr="00224AA6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224AA6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</w:t>
      </w:r>
      <w:r w:rsidR="00EF1990" w:rsidRPr="00A10E7B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4DD4FDF7" w14:textId="5D5A5590" w:rsidR="00085ABD" w:rsidRPr="00A10E7B" w:rsidRDefault="00052311" w:rsidP="00052311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 югу от города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Актобе. Месторождение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 разрабатываемым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,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к существующей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площадке ЦПНГ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м.р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- населенный пункт с. </w:t>
      </w:r>
      <w:proofErr w:type="spellStart"/>
      <w:r w:rsidRPr="00052311">
        <w:rPr>
          <w:rFonts w:ascii="Arial" w:hAnsi="Arial" w:cs="Arial"/>
          <w:color w:val="000000"/>
          <w:sz w:val="24"/>
          <w:szCs w:val="24"/>
          <w:lang w:val="ru-RU"/>
        </w:rPr>
        <w:t>Жаркемер</w:t>
      </w:r>
      <w:proofErr w:type="spellEnd"/>
      <w:r w:rsidRPr="00052311">
        <w:rPr>
          <w:rFonts w:ascii="Arial" w:hAnsi="Arial" w:cs="Arial"/>
          <w:color w:val="000000"/>
          <w:sz w:val="24"/>
          <w:szCs w:val="24"/>
          <w:lang w:val="ru-RU"/>
        </w:rPr>
        <w:t xml:space="preserve"> находится на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052311">
        <w:rPr>
          <w:rFonts w:ascii="Arial" w:hAnsi="Arial" w:cs="Arial"/>
          <w:color w:val="000000"/>
          <w:sz w:val="24"/>
          <w:szCs w:val="24"/>
          <w:lang w:val="ru-RU"/>
        </w:rPr>
        <w:t>расстоянии 5 км к западу от месторождения.</w:t>
      </w:r>
    </w:p>
    <w:p w14:paraId="24932E24" w14:textId="47E25E83" w:rsidR="00F85A2E" w:rsidRPr="00A10E7B" w:rsidRDefault="003A5D8E" w:rsidP="003A5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-</w:t>
      </w:r>
      <w:r w:rsidRPr="003A5D8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</w:p>
    <w:p w14:paraId="5AC97D53" w14:textId="6EE504A3" w:rsidR="001F602D" w:rsidRPr="001F602D" w:rsidRDefault="003A5D8E" w:rsidP="003A5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3" w:name="z99"/>
      <w:bookmarkEnd w:id="2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деятельности:</w:t>
      </w:r>
      <w:r w:rsidR="000A2AF1" w:rsidRPr="003A5D8E">
        <w:rPr>
          <w:rFonts w:ascii="Arial" w:hAnsi="Arial" w:cs="Arial"/>
          <w:sz w:val="24"/>
          <w:szCs w:val="24"/>
          <w:lang w:val="ru-RU"/>
        </w:rPr>
        <w:t xml:space="preserve"> </w:t>
      </w:r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В связи с принятием Заказчиком решения об увеличении добычи на месторождении Восточный </w:t>
      </w:r>
      <w:proofErr w:type="spellStart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предусмотрено строительство нефтепровода с транспортом водонефтяной жидкости от дожимной насосной станции (ДНС) месторождения </w:t>
      </w:r>
      <w:proofErr w:type="spellStart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в цех подготовки нефти и газа (ЦПНГ) месторождения </w:t>
      </w:r>
      <w:proofErr w:type="spellStart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с установкой на ДНС блочной насосной станции внешней перекачки нефти №3.</w:t>
      </w:r>
    </w:p>
    <w:p w14:paraId="7ED9B8FB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Данным проектом предусматривается строительство блочной насосной станции внешней перекачки нефти на ДНС.</w:t>
      </w:r>
    </w:p>
    <w:p w14:paraId="43806929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В состав проектируемых объектов настоящего рабочего проекта входит строительство насосной станции внешней перекачки нефти на ДНС месторождения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304F26CF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Насосная внешнего транспорта №3</w:t>
      </w:r>
    </w:p>
    <w:p w14:paraId="67908FAA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Размещение насосной станции внешнего транспорта нефти №3 выполнено с учётом взаимосвязи с существующими сооружениями, подземными и наземными коммуникациями.</w:t>
      </w:r>
    </w:p>
    <w:p w14:paraId="2FE45D00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Насосная станция №3 предусматривается на существующей площадке ДНС.</w:t>
      </w:r>
    </w:p>
    <w:p w14:paraId="66D0A695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Схема технологическая принципиальная насосной станции внешнего транспорта нефти в районе ДНС дана на чертеже 910979/2023/1-02-СНГ_2.</w:t>
      </w:r>
    </w:p>
    <w:p w14:paraId="6D939D4F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Насосная внешнего транспорта с насосами Н-1/5,6 представляет собой отапливаемый блок-бокс и предназначена для подачи нефти в нефтепровод из резервуаров ДНС до ЦПНГ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5306D137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В проекте приняты центробежные насосные агрегаты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ЦНСнт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60-231 - 2 шт. (1 рабочий + 1 резервный), производительностью Q=60м3/ч, напором Н=231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м.ст.ж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 с электродвигателем АВ 280S2, мощностью N=110 кВт.</w:t>
      </w:r>
    </w:p>
    <w:p w14:paraId="47950C03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Насосной станция поставляется в соответствии с требованиями опросного листа 910979-2023-1-02-СНГ.ОЛ1.</w:t>
      </w:r>
    </w:p>
    <w:p w14:paraId="3BFAB18C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Агрегаты укомплектованы электродвигателями во взрывобезопасном исполнении. Обвязкой предусмотрена параллельная работа насосов.</w:t>
      </w:r>
    </w:p>
    <w:p w14:paraId="1B7A1543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Электронасосные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агрегаты поставляются в климатическом исполнении УХЛ, категории размещения 4 (размещение в помещении) по ГОСТ 15150-69.</w:t>
      </w:r>
    </w:p>
    <w:p w14:paraId="358E772B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Применяемые насосы имеют торцевые уплотнения. Для механизации работ предусматривается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выкатное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устройство с домкратом.</w:t>
      </w:r>
    </w:p>
    <w:p w14:paraId="357E7F91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В блок-боксе насосной размещены:</w:t>
      </w:r>
    </w:p>
    <w:p w14:paraId="50F0BA70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арматура с электроприводом для отключения и запуска насосных агрегатов XV- 006.2, XV-007.2;</w:t>
      </w:r>
    </w:p>
    <w:p w14:paraId="3E2D2F95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обратные клапаны на нагнетательных линиях насосов;</w:t>
      </w:r>
    </w:p>
    <w:p w14:paraId="66873940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фильтры жидкостные на линии </w:t>
      </w:r>
      <w:proofErr w:type="spell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всаса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 насоса.</w:t>
      </w:r>
    </w:p>
    <w:p w14:paraId="6CAC2915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Сбор утечек с торцевых уплотнений насосов, дренаж от насосов и примыкающих к ним трубопроводов предусмотрен в подземную дренажную емкость ЕП-1 объемом V=5 м3.</w:t>
      </w:r>
    </w:p>
    <w:p w14:paraId="23B10CDB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Трубопроводы обвязки насосной станции запроектированы на существующей трубопроводной эстакаде насосов Н-1/1,2,3,4.</w:t>
      </w:r>
    </w:p>
    <w:p w14:paraId="5A46FBB5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Проектом предусматривается замена существующего регулирующего клапана К-3.</w:t>
      </w:r>
    </w:p>
    <w:p w14:paraId="703339E6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Клапан поставляется согласно опросному листу 910979-2023-1-02-СНГ.ОЛ2.</w:t>
      </w:r>
    </w:p>
    <w:p w14:paraId="39E8CC76" w14:textId="70B2743B" w:rsidR="004C3DC0" w:rsidRPr="00A10E7B" w:rsidRDefault="001F602D" w:rsidP="001F602D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Наружная обвязка насосной станции запроектированы из труб стальных бесшовных горячедеформированных из стали повышенной эксплуатационной надежности марки 13ХФА диаметром Ду150мм (</w:t>
      </w:r>
      <w:r w:rsidRPr="001F602D">
        <w:rPr>
          <w:rFonts w:ascii="Cambria Math" w:hAnsi="Cambria Math" w:cs="Cambria Math"/>
          <w:color w:val="000000"/>
          <w:sz w:val="24"/>
          <w:szCs w:val="24"/>
          <w:lang w:val="ru-RU"/>
        </w:rPr>
        <w:t>∅</w:t>
      </w:r>
      <w:r w:rsidRPr="001F602D">
        <w:rPr>
          <w:rFonts w:ascii="Arial" w:hAnsi="Arial" w:cs="Arial"/>
          <w:color w:val="000000"/>
          <w:sz w:val="24"/>
          <w:szCs w:val="24"/>
          <w:lang w:val="ru-RU"/>
        </w:rPr>
        <w:t>159х7) мм.</w:t>
      </w:r>
    </w:p>
    <w:p w14:paraId="62212B7E" w14:textId="2676E554" w:rsidR="001F602D" w:rsidRPr="001F602D" w:rsidRDefault="00F85A2E" w:rsidP="003A5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100"/>
      <w:bookmarkEnd w:id="3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5" w:name="z106"/>
      <w:bookmarkEnd w:id="4"/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>Основными загрязняющими атмосферу веществами при проведении строительных работ будут вещества, выделяемые при работе двигателей строительной техники и транспорта, а также пыль, образуемая при их движении и при осуществлении земляных работ.</w:t>
      </w:r>
    </w:p>
    <w:p w14:paraId="2D8E7E94" w14:textId="77777777" w:rsidR="001F602D" w:rsidRPr="001F602D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 строительно-монтажных работах, являются основными источниками неорганизованных выбросов.</w:t>
      </w:r>
    </w:p>
    <w:p w14:paraId="2A472253" w14:textId="6EB83B67" w:rsidR="006745A6" w:rsidRPr="006745A6" w:rsidRDefault="001F602D" w:rsidP="001F60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 строительная техника и транспорт, работающие на дизельном топливе и бензине.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(дизельное топливо) при строительстве – 1,800т., бензин 0,990 т.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135,4 кг электродов.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 материала 59,55 кг.</w:t>
      </w:r>
    </w:p>
    <w:p w14:paraId="0AE65C99" w14:textId="0CD66F17" w:rsidR="00234D91" w:rsidRPr="00A10E7B" w:rsidRDefault="00F85A2E" w:rsidP="003A5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6" w:name="z109"/>
      <w:bookmarkEnd w:id="5"/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A10E7B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A10E7B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A10E7B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A10E7B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A10E7B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0D81A4E3" w14:textId="30F22665" w:rsidR="001F602D" w:rsidRPr="001F602D" w:rsidRDefault="00F85A2E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7" w:name="z110"/>
      <w:bookmarkEnd w:id="6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3A5D8E" w:rsidRPr="003A5D8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1F602D" w:rsidRPr="001F602D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строительно-монтажных работ:</w:t>
      </w:r>
    </w:p>
    <w:p w14:paraId="419F3DEE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2,1 час.</w:t>
      </w:r>
    </w:p>
    <w:p w14:paraId="1517A669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компрессор передвижной, с дизельным двигателем, номер источника 0002; время работы – 82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D6BC8F4" w14:textId="68AC1F1E" w:rsidR="0068579C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электростанции передвижные, 65 кВт, номер источника 0003; время работы – 31,20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0FE05A9A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сварочный агрегат, с дизельным двигателем, номер источника 0004; время работы – 158,23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час.</w:t>
      </w:r>
    </w:p>
    <w:p w14:paraId="2D008A35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строительно-монтажных работ:</w:t>
      </w:r>
    </w:p>
    <w:p w14:paraId="08C2D8F1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52,8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609462E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37,1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1CD62822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15,0 ч.;</w:t>
      </w:r>
    </w:p>
    <w:p w14:paraId="5ECE5686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32,4 ч.;</w:t>
      </w:r>
    </w:p>
    <w:p w14:paraId="2CDA3909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73,3 ч.;</w:t>
      </w:r>
    </w:p>
    <w:p w14:paraId="4ACAC664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транспортировка пылящих материалов, номер источника 6006; время работы 0,5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029C60A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разгрузка пылящих материалов, номер источника 6007; время работы 3,6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D9F540F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 81,3 ч.;</w:t>
      </w:r>
    </w:p>
    <w:p w14:paraId="2468A8E7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2,1 ч.;</w:t>
      </w:r>
    </w:p>
    <w:p w14:paraId="5E247D82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 работы – 2,0 ч.;</w:t>
      </w:r>
    </w:p>
    <w:p w14:paraId="38EFCB07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6011; время работы – 56,0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24CAD79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 xml:space="preserve">• ДВС машин и механизмов – номер источника 6012; время работы – 92,0 </w:t>
      </w:r>
      <w:proofErr w:type="spellStart"/>
      <w:proofErr w:type="gramStart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маш.час</w:t>
      </w:r>
      <w:proofErr w:type="spellEnd"/>
      <w:proofErr w:type="gramEnd"/>
      <w:r w:rsidRPr="001F602D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32A7E44F" w14:textId="77777777" w:rsidR="001F602D" w:rsidRPr="001F602D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 допустимых выбросов для передвижных источников не устанавливаются.</w:t>
      </w:r>
    </w:p>
    <w:p w14:paraId="2E32AFA2" w14:textId="135E793F" w:rsidR="001F602D" w:rsidRPr="0068579C" w:rsidRDefault="001F602D" w:rsidP="001F602D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 строительно-монтажных работ составляет 16 ед. в том числе: неорганизованных - 12 ед., организованных – 4 ед.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F602D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 работ составит: от стационарных источников 5,088400074 г/сек или 0,130054034 т/за период строительных работ.</w:t>
      </w:r>
    </w:p>
    <w:p w14:paraId="52A010C8" w14:textId="7EC44E38" w:rsidR="00234D91" w:rsidRDefault="00F85A2E" w:rsidP="003A5D8E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8" w:name="z111"/>
      <w:bookmarkEnd w:id="7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9" w:name="z114"/>
      <w:bookmarkEnd w:id="8"/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3A5D8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A10E7B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lastRenderedPageBreak/>
        <w:t>присвоения шестизначного кода.</w:t>
      </w:r>
      <w:r w:rsidR="00234D91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A10E7B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474F88B7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отходы строительства и сноса (строительные отходы)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-отходы,</w:t>
      </w:r>
    </w:p>
    <w:p w14:paraId="2226A622" w14:textId="00B8839E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образующиеся при проведении демонтажных и строительных работ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пожароопасные. IV класс опасности. Ориентировочно образование </w:t>
      </w:r>
      <w:r w:rsidR="001F602D">
        <w:rPr>
          <w:rFonts w:ascii="Arial" w:eastAsia="TimesNewRomanPSMT" w:hAnsi="Arial" w:cs="Arial"/>
          <w:sz w:val="24"/>
          <w:szCs w:val="24"/>
          <w:lang w:val="ru-RU"/>
        </w:rPr>
        <w:t>0,2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 (количество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строительных отходов принимается по факту образования).</w:t>
      </w:r>
    </w:p>
    <w:p w14:paraId="303860C0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</w:p>
    <w:p w14:paraId="3E67BEE9" w14:textId="0B3B71DD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пожароопасные, IV-й класс опасности, в количестве – </w:t>
      </w:r>
      <w:r w:rsidR="001F602D">
        <w:rPr>
          <w:rFonts w:ascii="Arial" w:eastAsia="TimesNewRomanPSMT" w:hAnsi="Arial" w:cs="Arial"/>
          <w:sz w:val="24"/>
          <w:szCs w:val="24"/>
          <w:lang w:val="ru-RU"/>
        </w:rPr>
        <w:t>0,2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т.</w:t>
      </w:r>
    </w:p>
    <w:p w14:paraId="0FC5431A" w14:textId="7F0CCF7B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0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>,00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2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</w:p>
    <w:p w14:paraId="1191FD01" w14:textId="77777777" w:rsidR="008D0E8B" w:rsidRP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8D0E8B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</w:p>
    <w:p w14:paraId="781C88EC" w14:textId="62034EFD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</w:t>
      </w:r>
      <w:r w:rsidR="001F602D">
        <w:rPr>
          <w:rFonts w:ascii="Arial" w:eastAsia="TimesNewRomanPSMT" w:hAnsi="Arial" w:cs="Arial"/>
          <w:sz w:val="24"/>
          <w:szCs w:val="24"/>
          <w:lang w:val="ru-RU"/>
        </w:rPr>
        <w:t>08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6959C278" w14:textId="214F77A9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Ткани для вытирания, загрязненные опасными материалами (промасленная</w:t>
      </w:r>
      <w:r>
        <w:rPr>
          <w:rFonts w:ascii="Arial" w:eastAsia="TimesNewRomanPSMT" w:hAnsi="Arial" w:cs="Arial"/>
          <w:sz w:val="24"/>
          <w:szCs w:val="24"/>
          <w:u w:val="single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ветошь)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- образуются при протирке спецтехники и оборудования – пожароопасные, III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класс опасности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0,0</w:t>
      </w:r>
      <w:r w:rsidR="00F06DCD">
        <w:rPr>
          <w:rFonts w:ascii="Arial" w:eastAsia="TimesNewRomanPSMT" w:hAnsi="Arial" w:cs="Arial"/>
          <w:sz w:val="24"/>
          <w:szCs w:val="24"/>
          <w:lang w:val="ru-RU"/>
        </w:rPr>
        <w:t>0</w:t>
      </w:r>
      <w:r w:rsidR="001F602D">
        <w:rPr>
          <w:rFonts w:ascii="Arial" w:eastAsia="TimesNewRomanPSMT" w:hAnsi="Arial" w:cs="Arial"/>
          <w:sz w:val="24"/>
          <w:szCs w:val="24"/>
          <w:lang w:val="ru-RU"/>
        </w:rPr>
        <w:t>3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73B31ADD" w14:textId="4A49790C" w:rsidR="008D0E8B" w:rsidRDefault="008D0E8B" w:rsidP="008D0E8B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8D0E8B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</w:t>
      </w:r>
      <w:r w:rsidR="004C3DC0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твердые, не токсичные, не растворимы в воде; собираются в металлические контейнеры</w:t>
      </w:r>
      <w:r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и вывозятся по договору на утилизацию, класс опасности IV-й</w:t>
      </w:r>
      <w:r>
        <w:rPr>
          <w:rFonts w:ascii="Arial" w:eastAsia="TimesNewRomanPSMT" w:hAnsi="Arial" w:cs="Arial"/>
          <w:sz w:val="24"/>
          <w:szCs w:val="24"/>
          <w:lang w:val="ru-RU"/>
        </w:rPr>
        <w:t>-</w:t>
      </w:r>
      <w:r w:rsidR="00F06DCD" w:rsidRPr="00F06DCD">
        <w:rPr>
          <w:lang w:val="ru-RU"/>
        </w:rPr>
        <w:t xml:space="preserve"> </w:t>
      </w:r>
      <w:r w:rsidR="00F06DCD" w:rsidRPr="00F06DCD">
        <w:rPr>
          <w:rFonts w:ascii="Arial" w:eastAsia="TimesNewRomanPSMT" w:hAnsi="Arial" w:cs="Arial"/>
          <w:sz w:val="24"/>
          <w:szCs w:val="24"/>
          <w:lang w:val="ru-RU"/>
        </w:rPr>
        <w:t xml:space="preserve">составит: 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>0,</w:t>
      </w:r>
      <w:r w:rsidR="001F602D">
        <w:rPr>
          <w:rFonts w:ascii="Arial" w:eastAsia="TimesNewRomanPSMT" w:hAnsi="Arial" w:cs="Arial"/>
          <w:sz w:val="24"/>
          <w:szCs w:val="24"/>
          <w:lang w:val="ru-RU"/>
        </w:rPr>
        <w:t>185</w:t>
      </w:r>
      <w:r w:rsidRPr="008D0E8B">
        <w:rPr>
          <w:rFonts w:ascii="Arial" w:eastAsia="TimesNewRomanPSMT" w:hAnsi="Arial" w:cs="Arial"/>
          <w:sz w:val="24"/>
          <w:szCs w:val="24"/>
          <w:lang w:val="ru-RU"/>
        </w:rPr>
        <w:t xml:space="preserve"> т.</w:t>
      </w:r>
    </w:p>
    <w:p w14:paraId="2579925B" w14:textId="31946308" w:rsidR="009B7662" w:rsidRPr="00A10E7B" w:rsidRDefault="00F85A2E" w:rsidP="003A5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0" w:name="z116"/>
      <w:bookmarkEnd w:id="9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A10E7B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A10E7B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A10E7B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21AE90E4" w14:textId="4726BD31" w:rsidR="00020CEE" w:rsidRPr="00A10E7B" w:rsidRDefault="003A5D8E" w:rsidP="003A5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7"/>
      <w:bookmarkEnd w:id="10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</w:t>
      </w:r>
      <w:r w:rsidR="00020CEE" w:rsidRPr="00A10E7B">
        <w:rPr>
          <w:rFonts w:ascii="Arial" w:hAnsi="Arial" w:cs="Arial"/>
          <w:sz w:val="24"/>
          <w:szCs w:val="24"/>
          <w:lang w:val="ru-RU"/>
        </w:rPr>
        <w:lastRenderedPageBreak/>
        <w:t xml:space="preserve">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="00020CEE" w:rsidRPr="00A10E7B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="00020CEE" w:rsidRPr="00A10E7B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8CC7F01" w14:textId="605BD1EA" w:rsidR="00F85A2E" w:rsidRPr="00A10E7B" w:rsidRDefault="00F85A2E" w:rsidP="00F85A2E">
      <w:pPr>
        <w:spacing w:after="0"/>
        <w:jc w:val="both"/>
        <w:rPr>
          <w:rFonts w:ascii="Arial" w:hAnsi="Arial" w:cs="Arial"/>
          <w:b/>
          <w:i/>
          <w:color w:val="000000"/>
          <w:sz w:val="24"/>
          <w:szCs w:val="24"/>
          <w:lang w:val="ru-RU"/>
        </w:rPr>
      </w:pPr>
      <w:bookmarkStart w:id="12" w:name="z118"/>
      <w:bookmarkEnd w:id="11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3A5D8E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.</w:t>
      </w:r>
    </w:p>
    <w:p w14:paraId="09CAD415" w14:textId="7D095CD3" w:rsidR="00020CEE" w:rsidRPr="00A10E7B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68755C1B" w14:textId="2F120AFB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материалов;</w:t>
      </w:r>
    </w:p>
    <w:p w14:paraId="467E3D19" w14:textId="23E132E6" w:rsidR="00270D8E" w:rsidRPr="003A5D8E" w:rsidRDefault="00F85A2E" w:rsidP="00270D8E">
      <w:pPr>
        <w:spacing w:after="0"/>
        <w:jc w:val="both"/>
        <w:rPr>
          <w:rFonts w:ascii="Arial" w:hAnsi="Arial" w:cs="Arial"/>
          <w:sz w:val="24"/>
          <w:szCs w:val="24"/>
          <w:u w:val="single"/>
          <w:lang w:val="ru-RU"/>
        </w:rPr>
      </w:pPr>
      <w:bookmarkStart w:id="13" w:name="z119"/>
      <w:bookmarkEnd w:id="12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4" w:name="z120"/>
      <w:bookmarkEnd w:id="13"/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 по предотвращению, сокращению, смягчению выявленных существенных воздействий намечаемой деятельности на окружающую среду</w:t>
      </w:r>
      <w:r w:rsidR="003A5D8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3A5D8E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</w:p>
    <w:p w14:paraId="2CAE2A0C" w14:textId="71D25026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 xml:space="preserve"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</w:t>
      </w:r>
      <w:r w:rsidRPr="00A10E7B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A10E7B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A10E7B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39666D65" w:rsidR="00020CEE" w:rsidRPr="00A10E7B" w:rsidRDefault="00F85A2E" w:rsidP="003A5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A10E7B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A10E7B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A10E7B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A10E7B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A10E7B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слоем;</w:t>
      </w:r>
    </w:p>
    <w:p w14:paraId="43165347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541EF9AA" w14:textId="04C1A440" w:rsidR="00020CEE" w:rsidRPr="00A10E7B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</w:p>
    <w:p w14:paraId="79C98590" w14:textId="423F763A" w:rsidR="00F85A2E" w:rsidRPr="003A5D8E" w:rsidRDefault="003A5D8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7" w:name="z124"/>
      <w:bookmarkStart w:id="18" w:name="_GoBack"/>
      <w:bookmarkEnd w:id="16"/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3A5D8E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bookmarkEnd w:id="18"/>
    <w:p w14:paraId="5A30275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Перечень нормативных документов</w:t>
      </w:r>
    </w:p>
    <w:p w14:paraId="046246F2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A10E7B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A10E7B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lastRenderedPageBreak/>
        <w:t>Астана.</w:t>
      </w:r>
    </w:p>
    <w:p w14:paraId="76249E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</w:t>
      </w:r>
      <w:r w:rsidRPr="003E6049">
        <w:rPr>
          <w:rFonts w:ascii="Arial" w:hAnsi="Arial" w:cs="Arial"/>
          <w:sz w:val="24"/>
          <w:szCs w:val="24"/>
          <w:lang w:val="ru-RU"/>
        </w:rPr>
        <w:t xml:space="preserve"> </w:t>
      </w:r>
      <w:r w:rsidRPr="00A10E7B">
        <w:rPr>
          <w:rFonts w:ascii="Arial" w:hAnsi="Arial" w:cs="Arial"/>
          <w:sz w:val="24"/>
          <w:szCs w:val="24"/>
          <w:lang w:val="ru-RU"/>
        </w:rPr>
        <w:t>2005 г.</w:t>
      </w:r>
    </w:p>
    <w:p w14:paraId="35CC7750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Методике расчета выбросов ЗВ в атмосферу на объектах транспорта и</w:t>
      </w:r>
    </w:p>
    <w:p w14:paraId="294488D7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A10E7B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52311"/>
    <w:rsid w:val="00085ABD"/>
    <w:rsid w:val="000A2AF1"/>
    <w:rsid w:val="001F602D"/>
    <w:rsid w:val="00224AA6"/>
    <w:rsid w:val="00234D91"/>
    <w:rsid w:val="00270D8E"/>
    <w:rsid w:val="002D7A6B"/>
    <w:rsid w:val="003A5D8E"/>
    <w:rsid w:val="003C1E30"/>
    <w:rsid w:val="003E6049"/>
    <w:rsid w:val="004C3DC0"/>
    <w:rsid w:val="005057AE"/>
    <w:rsid w:val="006745A6"/>
    <w:rsid w:val="0068579C"/>
    <w:rsid w:val="00722FCB"/>
    <w:rsid w:val="00871E0D"/>
    <w:rsid w:val="008D0E8B"/>
    <w:rsid w:val="009654A1"/>
    <w:rsid w:val="009B7662"/>
    <w:rsid w:val="00A10E7B"/>
    <w:rsid w:val="00A16998"/>
    <w:rsid w:val="00A655FE"/>
    <w:rsid w:val="00AE14C2"/>
    <w:rsid w:val="00D12C3B"/>
    <w:rsid w:val="00EF1990"/>
    <w:rsid w:val="00F06DCD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16</cp:revision>
  <dcterms:created xsi:type="dcterms:W3CDTF">2025-04-07T05:53:00Z</dcterms:created>
  <dcterms:modified xsi:type="dcterms:W3CDTF">2025-04-14T11:41:00Z</dcterms:modified>
</cp:coreProperties>
</file>